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 w:before="0"/>
        <w:ind w:firstLine="0" w:left="120"/>
        <w:jc w:val="center"/>
        <w:rPr>
          <w:rFonts w:ascii="Times New Roman" w:hAnsi="Times New Roman"/>
        </w:rPr>
      </w:pPr>
      <w:bookmarkStart w:id="1" w:name="block-40321957"/>
      <w:r>
        <w:drawing>
          <wp:inline>
            <wp:extent cx="6318250" cy="8874125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318250" cy="887412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ectPr>
          <w:pgSz w:h="16383" w:orient="portrait" w:w="11906"/>
          <w:pgMar w:bottom="850" w:left="1417" w:right="850" w:top="850"/>
        </w:sectPr>
      </w:pPr>
    </w:p>
    <w:p w14:paraId="03000000">
      <w:pPr>
        <w:spacing w:after="0" w:before="0"/>
        <w:ind w:firstLine="0" w:left="120"/>
        <w:jc w:val="center"/>
      </w:pPr>
      <w:bookmarkStart w:id="2" w:name="block-40321958"/>
      <w:bookmarkEnd w:id="1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 w14:paraId="04000000">
      <w:pPr>
        <w:spacing w:after="0" w:before="0"/>
        <w:ind w:firstLine="0" w:left="120"/>
        <w:jc w:val="both"/>
      </w:pPr>
    </w:p>
    <w:p w14:paraId="0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Рабочая программа учебного курса «Вероятность и статистика» базового уровня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обучающихся. </w:t>
      </w:r>
    </w:p>
    <w:p w14:paraId="06000000">
      <w:pPr>
        <w:spacing w:after="0" w:before="0"/>
        <w:ind w:firstLine="0" w:left="120"/>
        <w:jc w:val="both"/>
      </w:pPr>
    </w:p>
    <w:p w14:paraId="07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ЦЕЛИ ИЗУЧЕНИЯ УЧЕБНОГО КУРСА</w:t>
      </w:r>
    </w:p>
    <w:p w14:paraId="08000000">
      <w:pPr>
        <w:spacing w:after="0" w:before="0"/>
        <w:ind w:firstLine="0" w:left="120"/>
        <w:jc w:val="both"/>
      </w:pPr>
    </w:p>
    <w:p w14:paraId="0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Учебный курс «Вероятность и статистика» базового уровня является продолжением и развитием одноимённого учебного курса базового уровня основной школы.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событий, величин и процессов. При изучении курса обогащаются представления учащихся о методах исследования изменчивого мира, развивается понимание значимости и общности математических методов познания как неотъемлемой части современного естественно-научного мировоззрения.</w:t>
      </w:r>
    </w:p>
    <w:p w14:paraId="0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 курса направлено на закрепление знаний, полученных при изучении курса основной школы и на развитие представлений о случайных величинах и взаимосвязях между ними на важных примерах, сюжеты которых почерпнуты из окружающего мира. </w:t>
      </w:r>
    </w:p>
    <w:p w14:paraId="0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соответствии с указанными целями в структуре учебного курса «Вероятность и статистика» средней школы на базовом уровне выделены следующие основные содержательные линии: «Случайные события и вероятности», «Случайные величины и закон больших чисел».</w:t>
      </w:r>
    </w:p>
    <w:p w14:paraId="0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Важную часть курса занимает изучение геометрического и биномиального распределений и знакомство с их непрерывными аналогами ― показательным и нормальным распределениями.</w:t>
      </w:r>
    </w:p>
    <w:p w14:paraId="0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 линии «Случайные события и вероятности» 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служит основой для формирования представлений о распределении вероятностей между значениями случайных величин, а также эта линия необходима как база для изучения закона больших чисел – фундаментального закона, действующего в природе и обществе и имеющего математическую формализацию. Сам закон больших чисел предлагается в ознакомительной форме с минимальным использованием математического формализма. </w:t>
      </w:r>
    </w:p>
    <w:p w14:paraId="0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Темы, связанные с непрерывными случайными величинами, акцентируют внимание школьников на описании и изучении случайных явлений с помощью непрерывных функций. Основное внимание уделяется показательному и нормальному распределениям, при этом предполагается ознакомительное изучение материала без доказательств применяемых фактов. </w:t>
      </w:r>
    </w:p>
    <w:p w14:paraId="0F000000">
      <w:pPr>
        <w:spacing w:after="0" w:before="0"/>
        <w:ind w:firstLine="0" w:left="120"/>
        <w:jc w:val="both"/>
      </w:pPr>
    </w:p>
    <w:p w14:paraId="10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МЕСТО КУРСА В УЧЕБНОМ ПЛАНЕ</w:t>
      </w:r>
    </w:p>
    <w:p w14:paraId="11000000">
      <w:pPr>
        <w:spacing w:after="0" w:before="0"/>
        <w:ind w:firstLine="0" w:left="120"/>
        <w:jc w:val="both"/>
      </w:pPr>
    </w:p>
    <w:p w14:paraId="12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 На изучение курса «Вероятность и статистика» на базовом уровне отводится 1 час в неделю в течение каждого года обучения, всего 68 учебных часов.</w:t>
      </w:r>
    </w:p>
    <w:p w14:paraId="13000000">
      <w:pPr>
        <w:sectPr>
          <w:pgSz w:h="16383" w:orient="portrait" w:w="11906"/>
        </w:sectPr>
      </w:pPr>
    </w:p>
    <w:p w14:paraId="14000000">
      <w:pPr>
        <w:spacing w:after="0" w:before="0"/>
        <w:ind w:firstLine="0" w:left="120"/>
        <w:jc w:val="left"/>
      </w:pPr>
      <w:bookmarkStart w:id="3" w:name="block-40321963"/>
      <w:bookmarkEnd w:id="2"/>
      <w:r>
        <w:rPr>
          <w:rFonts w:ascii="Times New Roman" w:hAnsi="Times New Roman"/>
          <w:b w:val="1"/>
          <w:i w:val="0"/>
          <w:color w:val="000000"/>
          <w:sz w:val="28"/>
        </w:rPr>
        <w:t>СОДЕРЖАНИЕ УЧЕБНОГО КУРСА</w:t>
      </w:r>
    </w:p>
    <w:p w14:paraId="15000000">
      <w:pPr>
        <w:spacing w:after="0" w:before="0"/>
        <w:ind w:firstLine="0" w:left="120"/>
        <w:jc w:val="left"/>
      </w:pPr>
    </w:p>
    <w:p w14:paraId="16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10 КЛАСС</w:t>
      </w:r>
    </w:p>
    <w:p w14:paraId="17000000">
      <w:pPr>
        <w:spacing w:after="0" w:before="0"/>
        <w:ind w:firstLine="0" w:left="120"/>
        <w:jc w:val="both"/>
      </w:pPr>
    </w:p>
    <w:p w14:paraId="1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Представление данных с помощью таблиц и диаграмм. Среднее арифметическое, медиана, наибольшее и наименьшее значения, размах, дисперсия и стандартное отклонение числовых наборов. </w:t>
      </w:r>
    </w:p>
    <w:p w14:paraId="1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Случайные эксперименты (опыты) и случайные события. Элементарные события (исходы). Вероятность случайного события. Близость частоты и вероятности событий. Случайные опыты с равновозможными элементарными событиями. Вероятности событий в опытах с равновозможными элементарными событиями. </w:t>
      </w:r>
    </w:p>
    <w:p w14:paraId="1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Операции над событиями: пересечение, объединение, противоположные события. Диаграммы Эйлера. Формула сложения вероятностей. </w:t>
      </w:r>
    </w:p>
    <w:p w14:paraId="1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Условная вероятность. Умножение вероятностей. Дерево случайного эксперимента. Формула полной вероятности. Независимые события.</w:t>
      </w:r>
    </w:p>
    <w:p w14:paraId="1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Комбинаторное правило умножения. Перестановки и факториал. Число сочетаний. Треугольник Паскаля. Формула бинома Ньютона.</w:t>
      </w:r>
    </w:p>
    <w:p w14:paraId="1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Бинарный случайный опыт (испытание), успех и неудача. Независимые испытания. Серия независимых испытаний до первого успеха. Серия независимых испытаний Бернулли. </w:t>
      </w:r>
    </w:p>
    <w:p w14:paraId="1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Случайная величина. Распределение вероятностей. Диаграмма распределения. Примеры распределений, в том числе, геометрическое и биномиальное. </w:t>
      </w:r>
    </w:p>
    <w:p w14:paraId="1F000000">
      <w:pPr>
        <w:spacing w:after="0" w:before="0"/>
        <w:ind w:firstLine="0" w:left="120"/>
        <w:jc w:val="both"/>
      </w:pPr>
    </w:p>
    <w:p w14:paraId="20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11 </w:t>
      </w:r>
      <w:r>
        <w:rPr>
          <w:rFonts w:ascii="Times New Roman" w:hAnsi="Times New Roman"/>
          <w:b w:val="1"/>
          <w:i w:val="0"/>
          <w:color w:val="000000"/>
          <w:sz w:val="28"/>
        </w:rPr>
        <w:t>КЛАСС</w:t>
      </w:r>
    </w:p>
    <w:p w14:paraId="21000000">
      <w:pPr>
        <w:spacing w:after="0" w:before="0"/>
        <w:ind w:firstLine="0" w:left="120"/>
        <w:jc w:val="both"/>
      </w:pPr>
    </w:p>
    <w:p w14:paraId="2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Числовые характеристики случайных величин: математическое ожидание, дисперсия и стандартное отклонение. Примеры применения математического ожидания, в том числе в задачах из повседневной жизни. Математическое ожидание бинарной случайной величины. Математическое ожидание суммы случайных величин. Математическое ожидание и дисперсия геометрического и биномиального распределений.</w:t>
      </w:r>
    </w:p>
    <w:p w14:paraId="2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Закон больших чисел и его роль в науке, природе и обществе. Выборочный метод исследований.</w:t>
      </w:r>
    </w:p>
    <w:p w14:paraId="2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Примеры непрерывных случайных величин. Понятие о плотности распределения. Задачи, приводящие к нормальному распределению. Понятие о нормальном распределении. </w:t>
      </w:r>
    </w:p>
    <w:p w14:paraId="25000000">
      <w:pPr>
        <w:sectPr>
          <w:pgSz w:h="16383" w:orient="portrait" w:w="11906"/>
        </w:sectPr>
      </w:pPr>
    </w:p>
    <w:p w14:paraId="26000000">
      <w:pPr>
        <w:spacing w:after="0" w:before="0"/>
        <w:ind w:firstLine="0" w:left="120"/>
        <w:jc w:val="both"/>
      </w:pPr>
      <w:bookmarkStart w:id="4" w:name="block-40321962"/>
      <w:bookmarkEnd w:id="3"/>
      <w:r>
        <w:rPr>
          <w:rFonts w:ascii="Times New Roman" w:hAnsi="Times New Roman"/>
          <w:b w:val="1"/>
          <w:i w:val="0"/>
          <w:color w:val="000000"/>
          <w:sz w:val="28"/>
        </w:rPr>
        <w:t xml:space="preserve">ПЛАНИРУЕМЫЕ РЕЗУЛЬТАТЫ </w:t>
      </w:r>
    </w:p>
    <w:p w14:paraId="27000000">
      <w:pPr>
        <w:spacing w:after="0" w:before="0"/>
        <w:ind w:firstLine="0" w:left="120"/>
        <w:jc w:val="both"/>
      </w:pPr>
    </w:p>
    <w:p w14:paraId="28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</w:p>
    <w:p w14:paraId="29000000">
      <w:pPr>
        <w:spacing w:after="0" w:before="0"/>
        <w:ind w:firstLine="0" w:left="120"/>
        <w:jc w:val="both"/>
      </w:pPr>
    </w:p>
    <w:p w14:paraId="2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Личностные результаты освоения программы учебного предмета «Математика» характеризуются:</w:t>
      </w:r>
    </w:p>
    <w:p w14:paraId="2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Гражданское воспитание:</w:t>
      </w:r>
    </w:p>
    <w:p w14:paraId="2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сформированностью гражданской позиции обучающегося как активного и ответственного члена российского общества, представлением о математических основах функционирования различных структур, явлений, процедур гражданского общества (выборы, опросы и пр.), умением взаимодействовать с социальными институтами в соответствии с их функциями и назначением.</w:t>
      </w:r>
    </w:p>
    <w:p w14:paraId="2D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Патриотическое воспитание:</w:t>
      </w:r>
    </w:p>
    <w:p w14:paraId="2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сформированностью российской гражданской идентичности, уважения к прошлому и настоящему российской математики, </w:t>
      </w:r>
      <w:r>
        <w:rPr>
          <w:rFonts w:ascii="Times New Roman" w:hAnsi="Times New Roman"/>
          <w:b w:val="0"/>
          <w:i w:val="0"/>
          <w:color w:val="000000"/>
          <w:sz w:val="28"/>
        </w:rPr>
        <w:t>ценностным отношением к достижениям российских математиков и российской математической школы, к использованию этих достижений в других науках, технологиях, сферах экономики.</w:t>
      </w:r>
    </w:p>
    <w:p w14:paraId="2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Духовно-нравственного воспитания:</w:t>
      </w:r>
    </w:p>
    <w:p w14:paraId="3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осознанием духовных ценностей российского народа; сформированностью нравственного сознания, этического поведения, связанного с практическим применением достижений науки и деятельностью учёного; осознанием личного вклада в построение устойчивого будущего.</w:t>
      </w:r>
    </w:p>
    <w:p w14:paraId="3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Эстетическое воспитание:</w:t>
      </w:r>
    </w:p>
    <w:p w14:paraId="3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эстетическим отношением к миру, включая эстетику математических закономерностей, объектов, задач, решений, рассуждений; восприимчивостью к математическим аспектам различных видов искусства.</w:t>
      </w:r>
    </w:p>
    <w:p w14:paraId="3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Физическое воспитание:</w:t>
      </w:r>
    </w:p>
    <w:p w14:paraId="34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сформированностью умения применять математические знания в интересах здорового и безопасного образа жизни, ответственного отношения к своему здоровью (здоровое питание, сбалансированный режим занятий и отдыха, регулярная физическая активность); физического совершенствования, при занятиях спортивно-оздоровительной деятельностью.</w:t>
      </w:r>
    </w:p>
    <w:p w14:paraId="3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Трудовое воспитание:</w:t>
      </w:r>
    </w:p>
    <w:p w14:paraId="3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готовностью к труду, осознанием ценности трудолюбия; интересом к различным сферам профессиональной деятельности, связанным с математикой и её приложениями, умением совершать осознанный выбор будущей профессии и реализовывать собственные жизненные планы; готовностью и способностью к математическому образованию и самообразованию на протяжении всей жизни; готовностью к активному участию в решении практических задач математической направленности.</w:t>
      </w:r>
    </w:p>
    <w:p w14:paraId="3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Экологическое воспитание:</w:t>
      </w:r>
    </w:p>
    <w:p w14:paraId="3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сформированностью экологической культуры, пониманием влияния социально-экономических процессов на состояние природной и социальной среды, осознанием глобального характера экологических проблем; ориентацией на применение математических знаний для решения задач в области окружающей среды, планирования поступков и оценки их возможных последствий для окружающей среды.</w:t>
      </w:r>
    </w:p>
    <w:p w14:paraId="3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Ценности научного познания:</w:t>
      </w:r>
      <w:r>
        <w:rPr>
          <w:rFonts w:ascii="Times New Roman" w:hAnsi="Times New Roman"/>
          <w:b w:val="0"/>
          <w:i w:val="0"/>
          <w:color w:val="000000"/>
          <w:sz w:val="28"/>
          <w:u w:val="single"/>
        </w:rPr>
        <w:t xml:space="preserve"> </w:t>
      </w:r>
    </w:p>
    <w:p w14:paraId="3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сформированностью мировоззрения, соответствующего современному уровню развития науки и общественной практики,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готовностью осуществлять проектную и исследовательскую деятельность индивидуально и в группе.</w:t>
      </w:r>
    </w:p>
    <w:p w14:paraId="3B000000">
      <w:pPr>
        <w:spacing w:after="0" w:before="0"/>
        <w:ind w:firstLine="0" w:left="120"/>
        <w:jc w:val="both"/>
      </w:pPr>
    </w:p>
    <w:p w14:paraId="3C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</w:p>
    <w:p w14:paraId="3D000000">
      <w:pPr>
        <w:spacing w:after="0" w:before="0"/>
        <w:ind w:firstLine="0" w:left="120"/>
        <w:jc w:val="both"/>
      </w:pPr>
    </w:p>
    <w:p w14:paraId="3E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Метапредметные результаты освоения программы учебного предмета «Математика» характеризуются овладением универсальными </w:t>
      </w:r>
      <w:r>
        <w:rPr>
          <w:rFonts w:ascii="Times New Roman" w:hAnsi="Times New Roman"/>
          <w:b w:val="1"/>
          <w:i w:val="1"/>
          <w:color w:val="000000"/>
          <w:sz w:val="28"/>
        </w:rPr>
        <w:t>познавательными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 действиями, универсальными коммуникативными действиями, универсальными регулятивными действиями.</w:t>
      </w:r>
    </w:p>
    <w:p w14:paraId="3F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1) 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8"/>
        </w:rPr>
        <w:t>познавательные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 действия,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>
        <w:rPr>
          <w:rFonts w:ascii="Times New Roman" w:hAnsi="Times New Roman"/>
          <w:b w:val="0"/>
          <w:i w:val="0"/>
          <w:color w:val="000000"/>
          <w:sz w:val="28"/>
        </w:rPr>
        <w:t>.</w:t>
      </w:r>
    </w:p>
    <w:p w14:paraId="4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логические действия:</w:t>
      </w:r>
    </w:p>
    <w:p w14:paraId="41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</w:t>
      </w:r>
    </w:p>
    <w:p w14:paraId="42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общие; условные;</w:t>
      </w:r>
    </w:p>
    <w:p w14:paraId="43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утверждениях; предлагать критерии для выявления закономерностей и противоречий; </w:t>
      </w:r>
    </w:p>
    <w:p w14:paraId="44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45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контрпримеры; обосновывать собственные суждения и выводы;</w:t>
      </w:r>
    </w:p>
    <w:p w14:paraId="46000000">
      <w:pPr>
        <w:numPr>
          <w:ilvl w:val="0"/>
          <w:numId w:val="1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4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Базовые исследовательские действия:</w:t>
      </w:r>
    </w:p>
    <w:p w14:paraId="48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вопросы как исследовательский инструмент познания;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14:paraId="49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14:paraId="4A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4B000000">
      <w:pPr>
        <w:numPr>
          <w:ilvl w:val="0"/>
          <w:numId w:val="2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14:paraId="4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Работа с информацией:</w:t>
      </w:r>
    </w:p>
    <w:p w14:paraId="4D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14:paraId="4E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14:paraId="4F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14:paraId="50000000">
      <w:pPr>
        <w:numPr>
          <w:ilvl w:val="0"/>
          <w:numId w:val="3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надёжность информации по самостоятельно сформулированным критериям.</w:t>
      </w:r>
    </w:p>
    <w:p w14:paraId="5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2) 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8"/>
        </w:rPr>
        <w:t xml:space="preserve">коммуникативные </w:t>
      </w:r>
      <w:r>
        <w:rPr>
          <w:rFonts w:ascii="Times New Roman" w:hAnsi="Times New Roman"/>
          <w:b w:val="0"/>
          <w:i w:val="1"/>
          <w:color w:val="000000"/>
          <w:sz w:val="28"/>
        </w:rPr>
        <w:t>действия, обеспечивают сформированность социальных навыков обучающихся.</w:t>
      </w:r>
    </w:p>
    <w:p w14:paraId="5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Общение:</w:t>
      </w:r>
    </w:p>
    <w:p w14:paraId="53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14:paraId="54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</w:t>
      </w:r>
    </w:p>
    <w:p w14:paraId="55000000">
      <w:pPr>
        <w:numPr>
          <w:ilvl w:val="0"/>
          <w:numId w:val="4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</w:t>
      </w:r>
    </w:p>
    <w:p w14:paraId="5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Сотрудничество:</w:t>
      </w:r>
    </w:p>
    <w:p w14:paraId="57000000">
      <w:pPr>
        <w:numPr>
          <w:ilvl w:val="0"/>
          <w:numId w:val="5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</w:t>
      </w:r>
    </w:p>
    <w:p w14:paraId="58000000">
      <w:pPr>
        <w:numPr>
          <w:ilvl w:val="0"/>
          <w:numId w:val="5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групповых формах работы (обсуждения, обмен мнений, «мозговые штурмы» и иные);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</w:t>
      </w:r>
    </w:p>
    <w:p w14:paraId="5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3) 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Универсальные </w:t>
      </w:r>
      <w:r>
        <w:rPr>
          <w:rFonts w:ascii="Times New Roman" w:hAnsi="Times New Roman"/>
          <w:b w:val="1"/>
          <w:i w:val="1"/>
          <w:color w:val="000000"/>
          <w:sz w:val="28"/>
        </w:rPr>
        <w:t xml:space="preserve">регулятивные 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действия, </w:t>
      </w:r>
      <w:r>
        <w:rPr>
          <w:rFonts w:ascii="Times New Roman" w:hAnsi="Times New Roman"/>
          <w:b w:val="0"/>
          <w:i w:val="1"/>
          <w:color w:val="000000"/>
          <w:sz w:val="28"/>
        </w:rPr>
        <w:t>обеспечивают формирование смысловых установок и жизненных навыков личности</w:t>
      </w:r>
      <w:r>
        <w:rPr>
          <w:rFonts w:ascii="Times New Roman" w:hAnsi="Times New Roman"/>
          <w:b w:val="0"/>
          <w:i w:val="0"/>
          <w:color w:val="000000"/>
          <w:sz w:val="28"/>
        </w:rPr>
        <w:t>.</w:t>
      </w:r>
    </w:p>
    <w:p w14:paraId="5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Самоорганизация:</w:t>
      </w:r>
    </w:p>
    <w:p w14:paraId="5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5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Самоконтроль:</w:t>
      </w:r>
    </w:p>
    <w:p w14:paraId="5D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результатов; владеть способами самопроверки, самоконтроля процесса и результата решения математической задачи;</w:t>
      </w:r>
    </w:p>
    <w:p w14:paraId="5E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14:paraId="5F000000">
      <w:pPr>
        <w:numPr>
          <w:ilvl w:val="0"/>
          <w:numId w:val="6"/>
        </w:numPr>
        <w:spacing w:after="0" w:before="0"/>
        <w:ind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соответствие результата цели и условиям, объяснять причины достижения или недостижения результатов деятельности, находить ошибку, давать оценку приобретённому опыту.</w:t>
      </w:r>
    </w:p>
    <w:p w14:paraId="60000000">
      <w:pPr>
        <w:spacing w:after="0" w:before="0"/>
        <w:ind w:firstLine="0" w:left="120"/>
        <w:jc w:val="both"/>
      </w:pPr>
    </w:p>
    <w:p w14:paraId="61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ПРЕДМЕТНЫЕ РЕЗУЛЬТАТЫ </w:t>
      </w:r>
    </w:p>
    <w:p w14:paraId="62000000">
      <w:pPr>
        <w:spacing w:after="0" w:before="0"/>
        <w:ind w:firstLine="0" w:left="120"/>
        <w:jc w:val="both"/>
      </w:pPr>
    </w:p>
    <w:p w14:paraId="63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10 КЛАСС</w:t>
      </w:r>
    </w:p>
    <w:p w14:paraId="64000000">
      <w:pPr>
        <w:spacing w:after="0" w:before="0"/>
        <w:ind w:firstLine="0" w:left="120"/>
        <w:jc w:val="both"/>
      </w:pPr>
    </w:p>
    <w:p w14:paraId="65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и строить таблицы и диаграммы.</w:t>
      </w:r>
    </w:p>
    <w:p w14:paraId="66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Оперировать понятиями: среднее арифметическое, медиана, наибольшее, наименьшее значение, размах массива числовых данных. </w:t>
      </w:r>
    </w:p>
    <w:p w14:paraId="67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Оперировать понятиями: случайный эксперимент (опыт) и случайное событие, элементарное событие (элементарный исход) случайного опыта; находить вероятности в опытах с равновозможными случайными событиями, находить и сравнивать вероятности событий в изученных случайных экспериментах. </w:t>
      </w:r>
    </w:p>
    <w:p w14:paraId="68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Находить и формулировать события: пересечение и объединение данных событий, событие, противоположное данному событию; пользоваться диаграммами Эйлера и формулой сложения вероятностей при решении задач. </w:t>
      </w:r>
    </w:p>
    <w:p w14:paraId="69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Оперировать понятиями: условная вероятность, независимые события; находить вероятности с помощью правила умножения, с помощью дерева случайного опыта. </w:t>
      </w:r>
    </w:p>
    <w:p w14:paraId="6A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Применять комбинаторное правило умножения при решении задач. </w:t>
      </w:r>
    </w:p>
    <w:p w14:paraId="6B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Оперировать понятиями: испытание, независимые испытания, серия испытаний, успех и неудача; находить вероятности событий в серии независимых испытаний до первого успеха; находить вероятности событий в серии испытаний Бернулли. </w:t>
      </w:r>
    </w:p>
    <w:p w14:paraId="6C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Оперировать понятиями: случайная величина, распределение вероятностей, диаграмма распределения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. </w:t>
      </w:r>
    </w:p>
    <w:p w14:paraId="6D000000">
      <w:pPr>
        <w:spacing w:after="0" w:before="0"/>
        <w:ind w:firstLine="0" w:left="120"/>
        <w:jc w:val="both"/>
      </w:pPr>
    </w:p>
    <w:p w14:paraId="6E000000">
      <w:pPr>
        <w:spacing w:after="0" w:before="0"/>
        <w:ind w:firstLine="0"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11 КЛАСС</w:t>
      </w:r>
    </w:p>
    <w:p w14:paraId="6F000000">
      <w:pPr>
        <w:spacing w:after="0" w:before="0"/>
        <w:ind w:firstLine="0" w:left="120"/>
        <w:jc w:val="both"/>
      </w:pPr>
    </w:p>
    <w:p w14:paraId="70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вероятности значений случайной величины по распределению или с помощью диаграмм.</w:t>
      </w:r>
    </w:p>
    <w:p w14:paraId="71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Оперировать понятием математического ожидания; приводить примеры, как применяется математическое ожидание случайной величины находить математическое ожидание по данному распределению. </w:t>
      </w:r>
    </w:p>
    <w:p w14:paraId="72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представление о законе больших чисел.</w:t>
      </w:r>
    </w:p>
    <w:p w14:paraId="73000000">
      <w:pPr>
        <w:spacing w:after="0" w:before="0"/>
        <w:ind w:firstLine="600" w:left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представление о нормальном распределении.</w:t>
      </w:r>
    </w:p>
    <w:p w14:paraId="74000000">
      <w:pPr>
        <w:sectPr>
          <w:pgSz w:h="16383" w:orient="portrait" w:w="11906"/>
        </w:sectPr>
      </w:pPr>
    </w:p>
    <w:p w14:paraId="75000000">
      <w:pPr>
        <w:spacing w:after="0" w:before="0"/>
        <w:ind w:firstLine="0" w:left="120"/>
        <w:jc w:val="left"/>
      </w:pPr>
      <w:bookmarkStart w:id="5" w:name="block-40321959"/>
      <w:bookmarkEnd w:id="4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 w14:paraId="76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879"/>
        <w:gridCol w:w="4133"/>
        <w:gridCol w:w="982"/>
        <w:gridCol w:w="1706"/>
        <w:gridCol w:w="1793"/>
        <w:gridCol w:w="3608"/>
      </w:tblGrid>
      <w:tr>
        <w:trPr>
          <w:trHeight w:hRule="atLeast" w:val="300"/>
        </w:trPr>
        <w:tc>
          <w:tcPr>
            <w:tcW w:type="dxa" w:w="87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78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13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7A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48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3608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7D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70"/>
        </w:trPr>
        <w:tc>
          <w:tcPr>
            <w:tcW w:type="dxa" w:w="87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13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7F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81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83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608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Представление данных и описательная статистика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Случайные опыты и случайные события, опыты с равновозможными элементарными исходами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Операции над событиями, сложение вероятностей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Условная вероятность, дерево случайного опыта, формула полной вероятности и независимость событий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Элементы комбинаторики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Серии последовательных испытаний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Случайные величины и распределения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413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и систематизация знаний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"https://m.edsoo.ru/e0b7b0f1"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https://m.edsoo.ru/e0b7b0f1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5012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98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706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9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3608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00000">
            <w:pPr>
              <w:ind/>
              <w:jc w:val="left"/>
            </w:pPr>
          </w:p>
        </w:tc>
      </w:tr>
    </w:tbl>
    <w:p w14:paraId="B9000000">
      <w:pPr>
        <w:sectPr>
          <w:pgSz w:h="11906" w:orient="landscape" w:w="16383"/>
        </w:sectPr>
      </w:pPr>
    </w:p>
    <w:p w14:paraId="BA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843"/>
        <w:gridCol w:w="3802"/>
        <w:gridCol w:w="1017"/>
        <w:gridCol w:w="1745"/>
        <w:gridCol w:w="1829"/>
        <w:gridCol w:w="3555"/>
      </w:tblGrid>
      <w:tr>
        <w:trPr>
          <w:trHeight w:hRule="atLeast" w:val="300"/>
        </w:trPr>
        <w:tc>
          <w:tcPr>
            <w:tcW w:type="dxa" w:w="843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BC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802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BE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59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3555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C1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570"/>
        </w:trPr>
        <w:tc>
          <w:tcPr>
            <w:tcW w:type="dxa" w:w="843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802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C3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C5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C7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555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36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Математическое ожидание случайной величины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Дисперсия и стандартное отклонение случайной величины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Закон больших чисел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Непрерывные случайные величины (распределения)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Нормальное распределения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4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380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"https://m.edsoo.ru/5fbc5dc1"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https://m.edsoo.ru/5fbc5dc1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45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101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74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82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35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ind/>
              <w:jc w:val="left"/>
            </w:pPr>
          </w:p>
        </w:tc>
      </w:tr>
    </w:tbl>
    <w:p w14:paraId="F1000000">
      <w:pPr>
        <w:sectPr>
          <w:pgSz w:h="11906" w:orient="landscape" w:w="16383"/>
        </w:sectPr>
      </w:pPr>
    </w:p>
    <w:p w14:paraId="F2000000">
      <w:pPr>
        <w:sectPr>
          <w:pgSz w:h="11906" w:orient="landscape" w:w="16383"/>
        </w:sectPr>
      </w:pPr>
    </w:p>
    <w:p w14:paraId="F3000000">
      <w:pPr>
        <w:spacing w:after="0" w:before="0"/>
        <w:ind w:firstLine="0" w:left="120"/>
        <w:jc w:val="left"/>
      </w:pPr>
      <w:bookmarkStart w:id="6" w:name="block-40321960"/>
      <w:bookmarkEnd w:id="5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 w14:paraId="F400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10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855"/>
        <w:gridCol w:w="4019"/>
        <w:gridCol w:w="869"/>
        <w:gridCol w:w="1573"/>
        <w:gridCol w:w="1669"/>
        <w:gridCol w:w="1189"/>
        <w:gridCol w:w="2947"/>
      </w:tblGrid>
      <w:tr>
        <w:trPr>
          <w:trHeight w:hRule="atLeast" w:val="300"/>
        </w:trPr>
        <w:tc>
          <w:tcPr>
            <w:tcW w:type="dxa" w:w="855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F6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01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F8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11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8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FB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FD00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795"/>
        </w:trPr>
        <w:tc>
          <w:tcPr>
            <w:tcW w:type="dxa" w:w="855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01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FF00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0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0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18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94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Представление данных с помощью таблиц и диаграмм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"https://m.edsoo.ru/25c6d12b"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https://m.edsoo.ru/25c6d12b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970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"https://m.edsoo.ru/dd00738d"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https://m.edsoo.ru/dd00738d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970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"https://m.edsoo.ru/98645f6c"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https://m.edsoo.ru/98645f6c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340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"https://m.edsoo.ru/7c9033a8"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https://m.edsoo.ru/7c9033a8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Случайные эксперименты (опыты) и случайные события. Элементарные события (исходы)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"https://m.edsoo.ru/347c1b78"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https://m.edsoo.ru/347c1b78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Вероятность случайного события. Вероятности событий в опытах с равновозможными элементарными событиями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"https://m.edsoo.ru/64d75244"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https://m.edsoo.ru/64d75244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Вероятность случайного события. Практическая работа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"https://m.edsoo.ru/5e8fa94a"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https://m.edsoo.ru/5e8fa94a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Операции над событиями: пересечение, объединение событий, противоположные события. Диаграммы Эйлера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"https://m.edsoo.ru/221c622b"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https://m.edsoo.ru/221c622b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Операции над событиями: пересечение, объединение событий, противоположные события. Диаграммы Эйлера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"https://m.edsoo.ru/cc10c1e2"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https://m.edsoo.ru/cc10c1e2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сложения вероятностей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"https://m.edsoo.ru/3057365d"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https://m.edsoo.ru/3057365d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1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"https://m.edsoo.ru/9a408d25"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https://m.edsoo.ru/9a408d25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"https://m.edsoo.ru/b1e76d3a"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https://m.edsoo.ru/b1e76d3a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"https://m.edsoo.ru/47fb6b11"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https://m.edsoo.ru/47fb6b11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полной вероятности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"https://m.edsoo.ru/15941bec"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https://m.edsoo.ru/15941bec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полной вероятности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"https://m.edsoo.ru/a9ec13c8"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https://m.edsoo.ru/a9ec13c8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Формула полной вероятности. Независимые события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"https://m.edsoo.ru/e3dd5ac9"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https://m.edsoo.ru/e3dd5ac9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"https://m.edsoo.ru/29dc6cb9"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https://m.edsoo.ru/29dc6cb9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Комбинаторное правило умножения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"https://m.edsoo.ru/2270cf70"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https://m.edsoo.ru/2270cf70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Перестановки и факториал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"https://m.edsoo.ru/d58ce6d1"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https://m.edsoo.ru/d58ce6d1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 сочетаний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"https://m.edsoo.ru/7904dfb0"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https://m.edsoo.ru/7904dfb0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Треугольник Паскаля. Формула бинома Ньютона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"https://m.edsoo.ru/fa47998f"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https://m.edsoo.ru/fa47998f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Бинарный случайный опыт (испытание), успех и неудача. Независимые испытания. Серия независимых испытаний до первого успеха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"https://m.edsoo.ru/2e1f2368"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https://m.edsoo.ru/2e1f2368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08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Серия независимых испытаний Бернулли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"https://m.edsoo.ru/e9572a68"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https://m.edsoo.ru/e9572a68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Серия независимых испытаний. Практическая работа с использованием электронных таблиц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"https://m.edsoo.ru/f4a15a14"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https://m.edsoo.ru/f4a15a14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Случайная величина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"https://m.edsoo.ru/639be9aa"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https://m.edsoo.ru/639be9aa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Распределение вероятностей. Диаграмма распределения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"https://m.edsoo.ru/6dc7ff39"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https://m.edsoo.ru/6dc7ff39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Сумма и произведение случайных величин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"https://m.edsoo.ru/51b7ed5f"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https://m.edsoo.ru/51b7ed5f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Сумма и произведение случайных величин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"https://m.edsoo.ru/c2757cc3"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https://m.edsoo.ru/c2757cc3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распределений, в том числе геометрическое и биномиальное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"https://m.edsoo.ru/91e08061"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https://m.edsoo.ru/91e08061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распределений, в том числе геометрическое и биномиальное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"https://m.edsoo.ru/5afff05f"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https://m.edsoo.ru/5afff05f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"https://m.edsoo.ru/0f4d3cd7"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https://m.edsoo.ru/0f4d3cd7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"https://m.edsoo.ru/e01a3dc4"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https://m.edsoo.ru/e01a3dc4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"https://m.edsoo.ru/a985ae79"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https://m.edsoo.ru/a985ae79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5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401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294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"https://m.edsoo.ru/1ddca5e0"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https://m.edsoo.ru/1ddca5e0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74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4136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ind/>
              <w:jc w:val="left"/>
            </w:pPr>
          </w:p>
        </w:tc>
      </w:tr>
    </w:tbl>
    <w:p w14:paraId="F7010000">
      <w:pPr>
        <w:sectPr>
          <w:pgSz w:h="11906" w:orient="landscape" w:w="16383"/>
        </w:sectPr>
      </w:pPr>
    </w:p>
    <w:p w14:paraId="F801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11 КЛАСС </w:t>
      </w:r>
    </w:p>
    <w:tbl>
      <w:tblPr>
        <w:tblStyle w:val="Style_1"/>
        <w:tblBorders>
          <w:top w:sz="4" w:val="single"/>
          <w:left w:sz="4" w:val="single"/>
          <w:bottom w:sz="4" w:val="single"/>
          <w:right w:sz="4" w:val="single"/>
          <w:insideH w:sz="4" w:val="single"/>
          <w:insideV w:sz="4" w:val="single"/>
        </w:tblBorders>
        <w:tblLayout w:type="fixed"/>
      </w:tblPr>
      <w:tblGrid>
        <w:gridCol w:w="807"/>
        <w:gridCol w:w="4175"/>
        <w:gridCol w:w="869"/>
        <w:gridCol w:w="1573"/>
        <w:gridCol w:w="1669"/>
        <w:gridCol w:w="1189"/>
        <w:gridCol w:w="3079"/>
      </w:tblGrid>
      <w:tr>
        <w:trPr>
          <w:trHeight w:hRule="atLeast" w:val="300"/>
        </w:trPr>
        <w:tc>
          <w:tcPr>
            <w:tcW w:type="dxa" w:w="807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 w14:paraId="FA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175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 w14:paraId="FC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4111"/>
            <w:gridSpan w:val="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type="dxa" w:w="118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 w14:paraId="FF01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vMerge w:val="restart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01020000">
            <w:pPr>
              <w:spacing w:after="0" w:before="0"/>
              <w:ind w:firstLine="0" w:left="135"/>
              <w:jc w:val="left"/>
            </w:pPr>
          </w:p>
        </w:tc>
      </w:tr>
      <w:tr>
        <w:trPr>
          <w:trHeight w:hRule="atLeast" w:val="795"/>
        </w:trPr>
        <w:tc>
          <w:tcPr>
            <w:tcW w:type="dxa" w:w="807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4175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 w14:paraId="0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0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07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118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079"/>
            <w:gridSpan w:val="1"/>
            <w:vMerge w:val="continue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271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Случайные опыты и вероятности случайных событий. Серии независимых испытаний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"https://m.edsoo.ru/430d330a"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https://m.edsoo.ru/430d330a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71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Случайные опыты и вероятности случайных событий. Серии независимых испытаний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"https://m.edsoo.ru/a573a292"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https://m.edsoo.ru/a573a292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71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Случайные опыты и вероятности случайных событий. Серии независимых испытаний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"https://m.edsoo.ru/07a5e861"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https://m.edsoo.ru/07a5e861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71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обобщение, систематизация знаний. Случайные опыты и вероятности случайных событий. Серии независимых испытаний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"https://m.edsoo.ru/32bc29bf"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https://m.edsoo.ru/32bc29bf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применения математического ожидания (страхование, лотерея)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"https://m.edsoo.ru/ea27084d"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https://m.edsoo.ru/ea27084d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Математическое ожидание суммы случайных величин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"https://m.edsoo.ru/0adefe9e"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https://m.edsoo.ru/0adefe9e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8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Математическое ожидание геометрического и биномиального распределений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"https://m.edsoo.ru/20de2fc2"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https://m.edsoo.ru/20de2fc2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Математическое ожидание геометрического и биномиального распределений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"https://m.edsoo.ru/17b0e769"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https://m.edsoo.ru/17b0e769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Дисперсия и стандартное отклонение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"https://m.edsoo.ru/bcc67f76"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https://m.edsoo.ru/bcc67f76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Дисперсия и стандартное отклонение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"https://m.edsoo.ru/bf78aad6"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https://m.edsoo.ru/bf78aad6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Дисперсии геометрического и биномиального распределения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"https://m.edsoo.ru/4b5a495e"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https://m.edsoo.ru/4b5a495e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"https://m.edsoo.ru/a53cd884"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https://m.edsoo.ru/a53cd884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Закон больших чисел. Выборочный метод исследований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"https://m.edsoo.ru/94ddc34a"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https://m.edsoo.ru/94ddc34a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Закон больших чисел. Выборочный метод исследований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"https://m.edsoo.ru/cf23b369"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https://m.edsoo.ru/cf23b369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"https://m.edsoo.ru/6c1d11a6"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https://m.edsoo.ru/6c1d11a6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"https://m.edsoo.ru/7e379f8f"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https://m.edsoo.ru/7e379f8f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непрерывных случайных величин. Функция плотности распределения. Равномерное распределение и его свойства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"https://m.edsoo.ru/9f5b423d"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https://m.edsoo.ru/9f5b423d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68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Примеры непрерывных случайных величин. Функция плотности распределения. Равномерное распределение и его свойства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"https://m.edsoo.ru/b1c2712e"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https://m.edsoo.ru/b1c2712e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44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Задачи, приводящие к нормальному распределению. Функция плотности и свойства нормального распределения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"https://m.edsoo.ru/97c19f59"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https://m.edsoo.ru/97c19f59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"https://m.edsoo.ru/1f1f9ad9"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https://m.edsoo.ru/1f1f9ad9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Описательная статистика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"https://m.edsoo.ru/72953f4c"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https://m.edsoo.ru/72953f4c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Описательная статистика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"https://m.edsoo.ru/b699ad0c"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https://m.edsoo.ru/b699ad0c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Опыты с равновозможными элементарными событиями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"https://m.edsoo.ru/3fcbacf9"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https://m.edsoo.ru/3fcbacf9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Опыты с равновозможными элементарными событиями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"https://m.edsoo.ru/538fd7cf"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https://m.edsoo.ru/538fd7cf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4260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"https://m.edsoo.ru/272910f5"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https://m.edsoo.ru/272910f5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4050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"https://m.edsoo.ru/dc9ad6ca"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https://m.edsoo.ru/dc9ad6ca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4050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"https://m.edsoo.ru/5964f277"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https://m.edsoo.ru/5964f277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4050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"https://m.edsoo.ru/e71debe4"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https://m.edsoo.ru/e71debe4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02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Случайные величины и распределения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"https://m.edsoo.ru/00b2efb3"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https://m.edsoo.ru/00b2efb3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Случайные величины и распределения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"https://m.edsoo.ru/1cc2df8f"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https://m.edsoo.ru/1cc2df8f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Математическое ожидание случайной величины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"https://m.edsoo.ru/aea1298c"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https://m.edsoo.ru/aea1298c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знаний. Математическое ожидание случайной величины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"https://m.edsoo.ru/640a8ebf"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https://m.edsoo.ru/640a8ebf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"https://m.edsoo.ru/0fd6d597"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https://m.edsoo.ru/0fd6d597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807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 w:before="0"/>
              <w:ind w:firstLine="0"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type="dxa" w:w="4175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 w:before="0"/>
              <w:ind w:firstLine="0" w:left="135"/>
              <w:jc w:val="center"/>
            </w:pPr>
          </w:p>
        </w:tc>
        <w:tc>
          <w:tcPr>
            <w:tcW w:type="dxa" w:w="118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 w:before="0"/>
              <w:ind w:firstLine="0" w:left="135"/>
              <w:jc w:val="left"/>
            </w:pPr>
          </w:p>
        </w:tc>
        <w:tc>
          <w:tcPr>
            <w:tcW w:type="dxa" w:w="307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instrText>HYPERLINK "https://m.edsoo.ru/5006273e"</w:instrTex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https://m.edsoo.ru/5006273e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82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 w:before="0"/>
              <w:ind w:firstLine="0"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type="dxa" w:w="8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type="dxa" w:w="1573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type="dxa" w:w="1669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 w:before="0"/>
              <w:ind w:firstLine="0"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type="dxa" w:w="4268"/>
            <w:gridSpan w:val="2"/>
            <w:tcBorders>
              <w:top w:sz="4" w:val="single"/>
              <w:left w:sz="4" w:val="single"/>
              <w:bottom w:sz="4" w:val="single"/>
              <w:right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ind/>
              <w:jc w:val="left"/>
            </w:pPr>
          </w:p>
        </w:tc>
      </w:tr>
    </w:tbl>
    <w:p w14:paraId="FB020000">
      <w:pPr>
        <w:sectPr>
          <w:pgSz w:h="11906" w:orient="landscape" w:w="16383"/>
        </w:sectPr>
      </w:pPr>
    </w:p>
    <w:p w14:paraId="FC020000">
      <w:pPr>
        <w:sectPr>
          <w:pgSz w:h="11906" w:orient="landscape" w:w="16383"/>
        </w:sectPr>
      </w:pPr>
    </w:p>
    <w:p w14:paraId="FD020000">
      <w:pPr>
        <w:spacing w:after="0" w:before="0"/>
        <w:ind w:firstLine="0" w:left="120"/>
        <w:jc w:val="left"/>
      </w:pPr>
      <w:bookmarkStart w:id="7" w:name="block-40321961"/>
      <w:bookmarkEnd w:id="6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 w14:paraId="FE02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 w14:paraId="FF020000">
      <w:pPr>
        <w:spacing w:after="0" w:before="0"/>
        <w:ind w:firstLine="0" w:left="120"/>
        <w:jc w:val="left"/>
      </w:pPr>
    </w:p>
    <w:p w14:paraId="0003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Математика. Вероятность и статистика (в 2 частях)  10-11  класс, И.Р.Высоцкий, И.В.Ященко </w:t>
      </w:r>
      <w:r>
        <w:rPr>
          <w:rFonts w:ascii="Times New Roman" w:hAnsi="Times New Roman"/>
          <w:sz w:val="28"/>
        </w:rPr>
        <w:t xml:space="preserve"> – Москва: Просвещение, 2023г</w:t>
      </w:r>
    </w:p>
    <w:p w14:paraId="01030000">
      <w:pPr>
        <w:rPr>
          <w:rFonts w:ascii="Times New Roman" w:hAnsi="Times New Roman"/>
          <w:sz w:val="28"/>
        </w:rPr>
      </w:pPr>
    </w:p>
    <w:p w14:paraId="0203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 w14:paraId="03030000">
      <w:pPr>
        <w:spacing w:after="0" w:before="0"/>
        <w:ind w:firstLine="0" w:left="120"/>
        <w:jc w:val="left"/>
      </w:pPr>
    </w:p>
    <w:p w14:paraId="0403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highlight w:val="white"/>
        </w:rPr>
        <w:t xml:space="preserve">Методические рекомендации. 10-11 классы (к учебнику Ященко И.В. </w:t>
      </w:r>
      <w:r>
        <w:rPr>
          <w:rFonts w:ascii="Times New Roman" w:hAnsi="Times New Roman"/>
          <w:sz w:val="28"/>
          <w:highlight w:val="white"/>
        </w:rPr>
        <w:t>идр</w:t>
      </w:r>
      <w:r>
        <w:rPr>
          <w:rFonts w:ascii="Times New Roman" w:hAnsi="Times New Roman"/>
          <w:sz w:val="28"/>
          <w:highlight w:val="white"/>
        </w:rPr>
        <w:t>.)</w:t>
      </w:r>
    </w:p>
    <w:p w14:paraId="0503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Дидактические материалы по теории вероятности</w:t>
      </w:r>
      <w:r>
        <w:rPr>
          <w:rFonts w:ascii="Times New Roman" w:hAnsi="Times New Roman"/>
          <w:sz w:val="28"/>
        </w:rPr>
        <w:t xml:space="preserve"> 10-11 класса. Издательство "Просвещение", Высоцкий И.Р.</w:t>
      </w:r>
    </w:p>
    <w:p w14:paraId="06030000">
      <w:pPr>
        <w:spacing w:after="0" w:before="0"/>
        <w:ind w:firstLine="0" w:left="120"/>
        <w:jc w:val="left"/>
      </w:pPr>
    </w:p>
    <w:p w14:paraId="07030000">
      <w:pPr>
        <w:spacing w:after="0" w:before="0"/>
        <w:ind w:firstLine="0"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 w14:paraId="08030000">
      <w:pPr>
        <w:spacing w:after="0" w:before="0"/>
        <w:ind w:firstLine="0" w:left="120"/>
        <w:jc w:val="left"/>
      </w:pPr>
    </w:p>
    <w:p w14:paraId="09030000">
      <w:pPr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fldChar w:fldCharType="begin"/>
      </w:r>
      <w:r>
        <w:rPr>
          <w:rFonts w:ascii="Times New Roman" w:hAnsi="Times New Roman"/>
          <w:color w:val="0000FF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u w:val="single"/>
        </w:rPr>
        <w:fldChar w:fldCharType="separate"/>
      </w:r>
      <w:r>
        <w:rPr>
          <w:rFonts w:ascii="Times New Roman" w:hAnsi="Times New Roman"/>
          <w:color w:val="0000FF"/>
          <w:u w:val="single"/>
        </w:rPr>
        <w:t>http</w:t>
      </w:r>
      <w:r>
        <w:rPr>
          <w:rFonts w:ascii="Times New Roman" w:hAnsi="Times New Roman"/>
          <w:color w:val="0000FF"/>
          <w:u w:val="single"/>
        </w:rPr>
        <w:t>s://m.edsoo.ru/f2a32bd2</w:t>
      </w:r>
      <w:r>
        <w:rPr>
          <w:rFonts w:ascii="Times New Roman" w:hAnsi="Times New Roman"/>
          <w:color w:val="0000FF"/>
          <w:u w:val="single"/>
        </w:rPr>
        <w:fldChar w:fldCharType="end"/>
      </w:r>
    </w:p>
    <w:p w14:paraId="0A030000">
      <w:pPr>
        <w:rPr>
          <w:rFonts w:ascii="Times New Roman" w:hAnsi="Times New Roman"/>
        </w:rPr>
      </w:pPr>
      <w:r>
        <w:rPr>
          <w:rFonts w:ascii="Times New Roman" w:hAnsi="Times New Roman"/>
        </w:rPr>
        <w:t>resh.edu.ru</w:t>
      </w:r>
    </w:p>
    <w:p w14:paraId="0B030000">
      <w:pPr>
        <w:sectPr>
          <w:pgSz w:h="16383" w:orient="portrait" w:w="11906"/>
        </w:sectPr>
      </w:pPr>
    </w:p>
    <w:p w14:paraId="0C030000">
      <w:bookmarkEnd w:id="7"/>
    </w:p>
    <w:sectPr>
      <w:pgSz w:h="16839" w:orient="portrait" w:w="11907"/>
      <w:pgMar w:bottom="1440" w:left="1440" w:right="1440" w:top="144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1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2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3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4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abstractNum w:abstractNumId="5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header"/>
    <w:basedOn w:val="Style_2"/>
    <w:link w:val="Style_3_ch"/>
    <w:pPr>
      <w:tabs>
        <w:tab w:leader="none" w:pos="4680" w:val="center"/>
        <w:tab w:leader="none" w:pos="9360" w:val="right"/>
      </w:tabs>
      <w:ind/>
    </w:pPr>
  </w:style>
  <w:style w:styleId="Style_3_ch" w:type="character">
    <w:name w:val="header"/>
    <w:basedOn w:val="Style_2_ch"/>
    <w:link w:val="Style_3"/>
  </w:style>
  <w:style w:styleId="Style_4" w:type="paragraph">
    <w:name w:val="toc 2"/>
    <w:next w:val="Style_2"/>
    <w:link w:val="Style_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4_ch" w:type="character">
    <w:name w:val="toc 2"/>
    <w:link w:val="Style_4"/>
    <w:rPr>
      <w:rFonts w:ascii="XO Thames" w:hAnsi="XO Thames"/>
      <w:sz w:val="28"/>
    </w:rPr>
  </w:style>
  <w:style w:styleId="Style_5" w:type="paragraph">
    <w:name w:val="toc 4"/>
    <w:next w:val="Style_2"/>
    <w:link w:val="Style_5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5_ch" w:type="character">
    <w:name w:val="toc 4"/>
    <w:link w:val="Style_5"/>
    <w:rPr>
      <w:rFonts w:ascii="XO Thames" w:hAnsi="XO Thames"/>
      <w:sz w:val="28"/>
    </w:rPr>
  </w:style>
  <w:style w:styleId="Style_6" w:type="paragraph">
    <w:name w:val="Emphasis"/>
    <w:basedOn w:val="Style_7"/>
    <w:link w:val="Style_6_ch"/>
    <w:rPr>
      <w:i w:val="1"/>
    </w:rPr>
  </w:style>
  <w:style w:styleId="Style_6_ch" w:type="character">
    <w:name w:val="Emphasis"/>
    <w:basedOn w:val="Style_7_ch"/>
    <w:link w:val="Style_6"/>
    <w:rPr>
      <w:i w:val="1"/>
    </w:rPr>
  </w:style>
  <w:style w:styleId="Style_8" w:type="paragraph">
    <w:name w:val="toc 6"/>
    <w:next w:val="Style_2"/>
    <w:link w:val="Style_8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8_ch" w:type="character">
    <w:name w:val="toc 6"/>
    <w:link w:val="Style_8"/>
    <w:rPr>
      <w:rFonts w:ascii="XO Thames" w:hAnsi="XO Thames"/>
      <w:sz w:val="28"/>
    </w:rPr>
  </w:style>
  <w:style w:styleId="Style_9" w:type="paragraph">
    <w:name w:val="toc 7"/>
    <w:next w:val="Style_2"/>
    <w:link w:val="Style_9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9_ch" w:type="character">
    <w:name w:val="toc 7"/>
    <w:link w:val="Style_9"/>
    <w:rPr>
      <w:rFonts w:ascii="XO Thames" w:hAnsi="XO Thames"/>
      <w:sz w:val="28"/>
    </w:rPr>
  </w:style>
  <w:style w:styleId="Style_10" w:type="paragraph">
    <w:name w:val="heading 3"/>
    <w:basedOn w:val="Style_2"/>
    <w:next w:val="Style_2"/>
    <w:link w:val="Style_10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10_ch" w:type="character">
    <w:name w:val="heading 3"/>
    <w:basedOn w:val="Style_2_ch"/>
    <w:link w:val="Style_10"/>
    <w:rPr>
      <w:rFonts w:asciiTheme="majorAscii" w:hAnsiTheme="majorHAnsi"/>
      <w:b w:val="1"/>
      <w:color w:themeColor="accent1" w:val="4F81BD"/>
    </w:rPr>
  </w:style>
  <w:style w:styleId="Style_7" w:type="paragraph">
    <w:name w:val="Default Paragraph Font"/>
    <w:link w:val="Style_7_ch"/>
  </w:style>
  <w:style w:styleId="Style_7_ch" w:type="character">
    <w:name w:val="Default Paragraph Font"/>
    <w:link w:val="Style_7"/>
  </w:style>
  <w:style w:styleId="Style_11" w:type="paragraph">
    <w:name w:val="caption"/>
    <w:basedOn w:val="Style_2"/>
    <w:next w:val="Style_2"/>
    <w:link w:val="Style_11_ch"/>
    <w:pPr>
      <w:spacing w:line="240" w:lineRule="auto"/>
      <w:ind/>
    </w:pPr>
    <w:rPr>
      <w:b w:val="1"/>
      <w:color w:themeColor="accent1" w:val="4F81BD"/>
      <w:sz w:val="18"/>
    </w:rPr>
  </w:style>
  <w:style w:styleId="Style_11_ch" w:type="character">
    <w:name w:val="caption"/>
    <w:basedOn w:val="Style_2_ch"/>
    <w:link w:val="Style_11"/>
    <w:rPr>
      <w:b w:val="1"/>
      <w:color w:themeColor="accent1" w:val="4F81BD"/>
      <w:sz w:val="18"/>
    </w:rPr>
  </w:style>
  <w:style w:styleId="Style_12" w:type="paragraph">
    <w:name w:val="toc 3"/>
    <w:next w:val="Style_2"/>
    <w:link w:val="Style_12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2_ch" w:type="character">
    <w:name w:val="toc 3"/>
    <w:link w:val="Style_12"/>
    <w:rPr>
      <w:rFonts w:ascii="XO Thames" w:hAnsi="XO Thames"/>
      <w:sz w:val="28"/>
    </w:rPr>
  </w:style>
  <w:style w:styleId="Style_13" w:type="paragraph">
    <w:name w:val="Normal Indent"/>
    <w:basedOn w:val="Style_2"/>
    <w:link w:val="Style_13_ch"/>
    <w:pPr>
      <w:ind w:firstLine="0" w:left="720"/>
    </w:pPr>
  </w:style>
  <w:style w:styleId="Style_13_ch" w:type="character">
    <w:name w:val="Normal Indent"/>
    <w:basedOn w:val="Style_2_ch"/>
    <w:link w:val="Style_13"/>
  </w:style>
  <w:style w:styleId="Style_14" w:type="paragraph">
    <w:name w:val="heading 5"/>
    <w:next w:val="Style_2"/>
    <w:link w:val="Style_1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4_ch" w:type="character">
    <w:name w:val="heading 5"/>
    <w:link w:val="Style_14"/>
    <w:rPr>
      <w:rFonts w:ascii="XO Thames" w:hAnsi="XO Thames"/>
      <w:b w:val="1"/>
      <w:sz w:val="22"/>
    </w:rPr>
  </w:style>
  <w:style w:styleId="Style_15" w:type="paragraph">
    <w:name w:val="heading 1"/>
    <w:basedOn w:val="Style_2"/>
    <w:next w:val="Style_2"/>
    <w:link w:val="Style_15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5_ch" w:type="character">
    <w:name w:val="heading 1"/>
    <w:basedOn w:val="Style_2_ch"/>
    <w:link w:val="Style_15"/>
    <w:rPr>
      <w:rFonts w:asciiTheme="majorAscii" w:hAnsiTheme="majorHAnsi"/>
      <w:b w:val="1"/>
      <w:color w:themeColor="accent1" w:themeShade="BF" w:val="366091"/>
      <w:sz w:val="28"/>
    </w:rPr>
  </w:style>
  <w:style w:styleId="Style_16" w:type="paragraph">
    <w:name w:val="Hyperlink"/>
    <w:basedOn w:val="Style_7"/>
    <w:link w:val="Style_16_ch"/>
    <w:rPr>
      <w:color w:themeColor="hyperlink" w:val="0000FF"/>
      <w:u w:val="single"/>
    </w:rPr>
  </w:style>
  <w:style w:styleId="Style_16_ch" w:type="character">
    <w:name w:val="Hyperlink"/>
    <w:basedOn w:val="Style_7_ch"/>
    <w:link w:val="Style_16"/>
    <w:rPr>
      <w:color w:themeColor="hyperlink" w:val="0000FF"/>
      <w:u w:val="single"/>
    </w:rPr>
  </w:style>
  <w:style w:styleId="Style_17" w:type="paragraph">
    <w:name w:val="Footnote"/>
    <w:link w:val="Style_17_ch"/>
    <w:pPr>
      <w:ind w:firstLine="851" w:left="0"/>
      <w:jc w:val="both"/>
    </w:pPr>
    <w:rPr>
      <w:rFonts w:ascii="XO Thames" w:hAnsi="XO Thames"/>
      <w:sz w:val="22"/>
    </w:rPr>
  </w:style>
  <w:style w:styleId="Style_17_ch" w:type="character">
    <w:name w:val="Footnote"/>
    <w:link w:val="Style_17"/>
    <w:rPr>
      <w:rFonts w:ascii="XO Thames" w:hAnsi="XO Thames"/>
      <w:sz w:val="22"/>
    </w:rPr>
  </w:style>
  <w:style w:styleId="Style_18" w:type="paragraph">
    <w:name w:val="toc 1"/>
    <w:next w:val="Style_2"/>
    <w:link w:val="Style_18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8_ch" w:type="character">
    <w:name w:val="toc 1"/>
    <w:link w:val="Style_18"/>
    <w:rPr>
      <w:rFonts w:ascii="XO Thames" w:hAnsi="XO Thames"/>
      <w:b w:val="1"/>
      <w:sz w:val="28"/>
    </w:rPr>
  </w:style>
  <w:style w:styleId="Style_19" w:type="paragraph">
    <w:name w:val="Header and Footer"/>
    <w:link w:val="Style_19_ch"/>
    <w:pPr>
      <w:spacing w:line="240" w:lineRule="auto"/>
      <w:ind/>
      <w:jc w:val="both"/>
    </w:pPr>
    <w:rPr>
      <w:rFonts w:ascii="XO Thames" w:hAnsi="XO Thames"/>
      <w:sz w:val="20"/>
    </w:rPr>
  </w:style>
  <w:style w:styleId="Style_19_ch" w:type="character">
    <w:name w:val="Header and Footer"/>
    <w:link w:val="Style_19"/>
    <w:rPr>
      <w:rFonts w:ascii="XO Thames" w:hAnsi="XO Thames"/>
      <w:sz w:val="20"/>
    </w:rPr>
  </w:style>
  <w:style w:styleId="Style_20" w:type="paragraph">
    <w:name w:val="toc 9"/>
    <w:next w:val="Style_2"/>
    <w:link w:val="Style_20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0_ch" w:type="character">
    <w:name w:val="toc 9"/>
    <w:link w:val="Style_20"/>
    <w:rPr>
      <w:rFonts w:ascii="XO Thames" w:hAnsi="XO Thames"/>
      <w:sz w:val="28"/>
    </w:rPr>
  </w:style>
  <w:style w:styleId="Style_21" w:type="paragraph">
    <w:name w:val="toc 8"/>
    <w:next w:val="Style_2"/>
    <w:link w:val="Style_21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toc 5"/>
    <w:next w:val="Style_2"/>
    <w:link w:val="Style_22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Subtitle"/>
    <w:basedOn w:val="Style_2"/>
    <w:next w:val="Style_2"/>
    <w:link w:val="Style_23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3_ch" w:type="character">
    <w:name w:val="Subtitle"/>
    <w:basedOn w:val="Style_2_ch"/>
    <w:link w:val="Style_23"/>
    <w:rPr>
      <w:rFonts w:asciiTheme="majorAscii" w:hAnsiTheme="majorHAnsi"/>
      <w:i w:val="1"/>
      <w:color w:themeColor="accent1" w:val="4F81BD"/>
      <w:spacing w:val="15"/>
      <w:sz w:val="24"/>
    </w:rPr>
  </w:style>
  <w:style w:styleId="Style_24" w:type="paragraph">
    <w:name w:val="Title"/>
    <w:basedOn w:val="Style_2"/>
    <w:next w:val="Style_2"/>
    <w:link w:val="Style_24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4_ch" w:type="character">
    <w:name w:val="Title"/>
    <w:basedOn w:val="Style_2_ch"/>
    <w:link w:val="Style_24"/>
    <w:rPr>
      <w:rFonts w:asciiTheme="majorAscii" w:hAnsiTheme="majorHAnsi"/>
      <w:color w:themeColor="text2" w:themeShade="BF" w:val="17365D"/>
      <w:spacing w:val="5"/>
      <w:sz w:val="52"/>
    </w:rPr>
  </w:style>
  <w:style w:styleId="Style_25" w:type="paragraph">
    <w:name w:val="heading 4"/>
    <w:basedOn w:val="Style_2"/>
    <w:next w:val="Style_2"/>
    <w:link w:val="Style_25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5_ch" w:type="character">
    <w:name w:val="heading 4"/>
    <w:basedOn w:val="Style_2_ch"/>
    <w:link w:val="Style_25"/>
    <w:rPr>
      <w:rFonts w:asciiTheme="majorAscii" w:hAnsiTheme="majorHAnsi"/>
      <w:b w:val="1"/>
      <w:i w:val="1"/>
      <w:color w:themeColor="accent1" w:val="4F81BD"/>
    </w:rPr>
  </w:style>
  <w:style w:styleId="Style_26" w:type="paragraph">
    <w:name w:val="heading 2"/>
    <w:basedOn w:val="Style_2"/>
    <w:next w:val="Style_2"/>
    <w:link w:val="Style_26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6_ch" w:type="character">
    <w:name w:val="heading 2"/>
    <w:basedOn w:val="Style_2_ch"/>
    <w:link w:val="Style_26"/>
    <w:rPr>
      <w:rFonts w:asciiTheme="majorAscii" w:hAnsiTheme="majorHAnsi"/>
      <w:b w:val="1"/>
      <w:color w:themeColor="accent1" w:val="4F81BD"/>
      <w:sz w:val="26"/>
    </w:r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27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2025-04-22T07:58:30Z</dcterms:modified>
</cp:coreProperties>
</file>